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9C0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Projeto de Lei nº. 13/2026</w:t>
      </w:r>
    </w:p>
    <w:p w14:paraId="68FDF933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24DFA2F" w14:textId="77777777" w:rsidR="00407C3F" w:rsidRPr="00071291" w:rsidRDefault="00407C3F" w:rsidP="00407C3F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Assunto:</w:t>
      </w: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>Altera a Lei nº. 3.181, de 04 de abril de 2018, que “Cria o Conselho Municipal dos Direitos das Pessoas com Deficiência/COMPEDE e o Fundo Municipal das Pessoas com Deficiência e estabelece a Política Municipal das Pessoas com Deficiência no Município de São João Nepomuceno e dá outras providências”.</w:t>
      </w:r>
    </w:p>
    <w:p w14:paraId="3483C30D" w14:textId="77777777" w:rsidR="00407C3F" w:rsidRPr="00071291" w:rsidRDefault="00407C3F" w:rsidP="00407C3F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DEABCE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 de 2026.</w:t>
      </w:r>
    </w:p>
    <w:p w14:paraId="2271CEC3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15C8EA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Autor: </w:t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>Vereador Edison de Souza Silva.</w:t>
      </w:r>
    </w:p>
    <w:p w14:paraId="75C963B7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0351DA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67F806" w14:textId="77777777" w:rsidR="00407C3F" w:rsidRPr="00071291" w:rsidRDefault="00407C3F" w:rsidP="00407C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A Câmara Municipal de São João Nepomuceno </w:t>
      </w: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APROVA:</w:t>
      </w:r>
    </w:p>
    <w:p w14:paraId="3BA30A99" w14:textId="77777777" w:rsidR="00407C3F" w:rsidRPr="00071291" w:rsidRDefault="00407C3F" w:rsidP="00407C3F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8DA5257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ab/>
        <w:t>O Capítulo III da Lei nº. 3.181, de 04 de abril de 2018, passa a vigorar com a seguinte redação:</w:t>
      </w:r>
    </w:p>
    <w:p w14:paraId="6A95CDBC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02A880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“</w:t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CAPÍTULO III</w:t>
      </w:r>
    </w:p>
    <w:p w14:paraId="5106EC00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DA POLÍTICA MUNICIPAL DAS PESSOAS COM DEFICIÊNCIA</w:t>
      </w:r>
    </w:p>
    <w:p w14:paraId="11988A01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23F2FF36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Seção I</w:t>
      </w:r>
    </w:p>
    <w:p w14:paraId="3C3592F5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Dos princípios</w:t>
      </w:r>
    </w:p>
    <w:p w14:paraId="6E53A0C2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194B37ED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16.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 Política Municipal das Pessoas com Deficiência rege-se pelos seguintes princípios:</w:t>
      </w:r>
    </w:p>
    <w:p w14:paraId="75AD45E7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135FA1B6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respeito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à dignidade da pessoa humana e à igualdade de oportunidades;</w:t>
      </w:r>
    </w:p>
    <w:p w14:paraId="56CB8115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acessibilidade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universal nas dimensões física, comunicacional, atitudinal e digital;</w:t>
      </w:r>
    </w:p>
    <w:p w14:paraId="5823E4C9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III – promoção da inclusão social e da equidade no acesso a políticas e serviços públicos;</w:t>
      </w:r>
    </w:p>
    <w:p w14:paraId="740CCAE8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IV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transversalidade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das ações e políticas de inclusão e acessibilidade;</w:t>
      </w:r>
    </w:p>
    <w:p w14:paraId="29D128F5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participação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da pessoa com deficiência e controle social na formulação, implementação e monitoramento das políticas públicas voltadas à inclusão;</w:t>
      </w:r>
    </w:p>
    <w:p w14:paraId="581D1073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da autonomia, da independência e do protagonismo da pessoa com deficiência;</w:t>
      </w:r>
    </w:p>
    <w:p w14:paraId="6E0CF69F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VII – combate a todas as formas de discriminação e preconceito contra a pessoa com deficiência.</w:t>
      </w:r>
    </w:p>
    <w:p w14:paraId="025E32B8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72CC612E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17.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Para os fins desta Lei, considera-se acessibilidade universal a condição que possibilita a utilização, com segurança, autonomia e igualdade de condições, por todas as pessoas, inclusive aquelas com deficiência ou mobilidade reduzida, dos espaços, serviços, meios de comunicação, informação e tecnologias.</w:t>
      </w:r>
    </w:p>
    <w:p w14:paraId="25B92597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AE3D06C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lastRenderedPageBreak/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Parágrafo único.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 acessibilidade universal compreende, dentre outras, as seguintes dimensões:</w:t>
      </w:r>
    </w:p>
    <w:p w14:paraId="20BF8C6A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6F7A756D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física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, consistente na eliminação de barreiras arquitetônicas, urbanísticas e nos transportes;</w:t>
      </w:r>
    </w:p>
    <w:p w14:paraId="47F7DC45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comunicacional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, consistente na garantia de acesso à informação e à comunicação por meio de recursos adequados e acessíveis;</w:t>
      </w:r>
    </w:p>
    <w:p w14:paraId="0ACA1EB5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III – atitudinal, consistente na superação de barreiras comportamentais, preconceitos e práticas discriminatórias;</w:t>
      </w:r>
    </w:p>
    <w:p w14:paraId="0708BED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IV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digital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, consistente na garantia de acesso a sítios eletrônicos, sistemas, aplicativos e conteúdos digitais mantidos pelo Poder Público.</w:t>
      </w:r>
    </w:p>
    <w:p w14:paraId="758E7467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751490FF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Seção II</w:t>
      </w:r>
    </w:p>
    <w:p w14:paraId="310B70F6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Dos Eixos Estratégicos</w:t>
      </w:r>
    </w:p>
    <w:p w14:paraId="1EF95D9E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5F893E7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18.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 Política Municipal das Pessoas com Deficiência observará os seguintes eixos estratégicos:</w:t>
      </w:r>
    </w:p>
    <w:p w14:paraId="2F2EC47C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30348DAF" w14:textId="77777777" w:rsidR="00407C3F" w:rsidRPr="00071291" w:rsidRDefault="00407C3F" w:rsidP="00407C3F">
      <w:pPr>
        <w:tabs>
          <w:tab w:val="left" w:pos="851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acessibilidade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urbana e arquitetônica;</w:t>
      </w:r>
    </w:p>
    <w:p w14:paraId="6B2C34BC" w14:textId="77777777" w:rsidR="00407C3F" w:rsidRPr="00071291" w:rsidRDefault="00407C3F" w:rsidP="00407C3F">
      <w:pPr>
        <w:tabs>
          <w:tab w:val="left" w:pos="851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II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educação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inclusiva em todos os níveis e modalidades;</w:t>
      </w:r>
    </w:p>
    <w:p w14:paraId="19EFF90D" w14:textId="77777777" w:rsidR="00407C3F" w:rsidRPr="00071291" w:rsidRDefault="00407C3F" w:rsidP="00407C3F">
      <w:pPr>
        <w:tabs>
          <w:tab w:val="left" w:pos="851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III - saúde e assistência social inclusivas;</w:t>
      </w:r>
    </w:p>
    <w:p w14:paraId="263218CD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IV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empregabilidade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, qualificação profissional e empreendedorismo inclusivo;</w:t>
      </w:r>
    </w:p>
    <w:p w14:paraId="6AEE4956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cultura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, esporte, turismo e lazer acessíveis;</w:t>
      </w:r>
    </w:p>
    <w:p w14:paraId="5280526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VI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comunicação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acessível, informação inclusiva e tecnologias assistivas;</w:t>
      </w:r>
    </w:p>
    <w:p w14:paraId="1FE6952F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VII - participação social e fortalecimento dos mecanismos de controle social;</w:t>
      </w:r>
    </w:p>
    <w:p w14:paraId="6BF5FC65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VIII - formação e capacitação permanente de agentes públicos para atendimento inclusivo.</w:t>
      </w:r>
    </w:p>
    <w:p w14:paraId="56E0A41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3046B91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Parágrafo único.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 implementação dos eixos previstos neste artigo deverá ocorrer de forma integrada entre os órgãos e entidades da Administração Pública Municipal, respeitadas as competências de cada unidade administrativa.</w:t>
      </w:r>
    </w:p>
    <w:p w14:paraId="5B9F3F4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74BDAC5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Seção III</w:t>
      </w:r>
    </w:p>
    <w:p w14:paraId="04147CBB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Das Diretrizes de Implementação</w:t>
      </w:r>
    </w:p>
    <w:p w14:paraId="2101B826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5A0255B5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19.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As diretrizes de implementação da Política Municipal das Pessoas com Deficiência observarão os eixos estratégicos previstos no art. 18 e compreendem, dentre outras, as seguintes:</w:t>
      </w:r>
    </w:p>
    <w:p w14:paraId="269EDAAB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3737AAC3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 –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quanto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à acessibilidade urbana e arquitetônica:</w:t>
      </w:r>
    </w:p>
    <w:p w14:paraId="6D9ED01B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0A290C7" w14:textId="77777777" w:rsidR="00407C3F" w:rsidRPr="00071291" w:rsidRDefault="00407C3F" w:rsidP="00407C3F">
      <w:pPr>
        <w:pStyle w:val="PargrafodaLista"/>
        <w:numPr>
          <w:ilvl w:val="0"/>
          <w:numId w:val="1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da adequação progressiva dos prédios públicos às normas técnicas de acessibilidade vigentes;</w:t>
      </w:r>
    </w:p>
    <w:p w14:paraId="7798C43C" w14:textId="77777777" w:rsidR="00407C3F" w:rsidRPr="00071291" w:rsidRDefault="00407C3F" w:rsidP="00407C3F">
      <w:pPr>
        <w:pStyle w:val="PargrafodaLista"/>
        <w:numPr>
          <w:ilvl w:val="0"/>
          <w:numId w:val="1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implantação de infraestrutura urbana acessível;</w:t>
      </w:r>
    </w:p>
    <w:p w14:paraId="3AAD1681" w14:textId="77777777" w:rsidR="00407C3F" w:rsidRPr="00071291" w:rsidRDefault="00407C3F" w:rsidP="00407C3F">
      <w:pPr>
        <w:pStyle w:val="PargrafodaLista"/>
        <w:numPr>
          <w:ilvl w:val="0"/>
          <w:numId w:val="1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a programas de calçadas acessíveis;</w:t>
      </w:r>
    </w:p>
    <w:p w14:paraId="1D4516AD" w14:textId="77777777" w:rsidR="00407C3F" w:rsidRPr="00071291" w:rsidRDefault="00407C3F" w:rsidP="00407C3F">
      <w:pPr>
        <w:pStyle w:val="PargrafodaLista"/>
        <w:numPr>
          <w:ilvl w:val="0"/>
          <w:numId w:val="1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lastRenderedPageBreak/>
        <w:t>fortalecimento da fiscalização do cumprimento das normas de acessibilidade;</w:t>
      </w:r>
    </w:p>
    <w:p w14:paraId="7E83AD15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1C93EE59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II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quanto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ao eixo da educação inclusiva:</w:t>
      </w:r>
    </w:p>
    <w:p w14:paraId="722B9F93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E95C30A" w14:textId="77777777" w:rsidR="00407C3F" w:rsidRPr="00071291" w:rsidRDefault="00407C3F" w:rsidP="00407C3F">
      <w:pPr>
        <w:pStyle w:val="PargrafodaLista"/>
        <w:numPr>
          <w:ilvl w:val="0"/>
          <w:numId w:val="2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da disponibilização de profissionais de apoio especializado, observada a legislação vigente;</w:t>
      </w:r>
    </w:p>
    <w:p w14:paraId="22681B32" w14:textId="77777777" w:rsidR="00407C3F" w:rsidRPr="00071291" w:rsidRDefault="00407C3F" w:rsidP="00407C3F">
      <w:pPr>
        <w:pStyle w:val="PargrafodaLista"/>
        <w:numPr>
          <w:ilvl w:val="0"/>
          <w:numId w:val="2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adaptação curricular, ao uso de tecnologias assistivas e à ampliação da acessibilidade digital no ambiente escolar;</w:t>
      </w:r>
    </w:p>
    <w:p w14:paraId="0EE8085C" w14:textId="77777777" w:rsidR="00407C3F" w:rsidRPr="00071291" w:rsidRDefault="00407C3F" w:rsidP="00407C3F">
      <w:pPr>
        <w:pStyle w:val="PargrafodaLista"/>
        <w:numPr>
          <w:ilvl w:val="0"/>
          <w:numId w:val="2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formação continuada dos profissionais da educação para atendimento inclusivo;</w:t>
      </w:r>
    </w:p>
    <w:p w14:paraId="769577ED" w14:textId="77777777" w:rsidR="00407C3F" w:rsidRPr="00071291" w:rsidRDefault="00407C3F" w:rsidP="00407C3F">
      <w:pPr>
        <w:pStyle w:val="PargrafodaLista"/>
        <w:numPr>
          <w:ilvl w:val="0"/>
          <w:numId w:val="2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da acessibilidade no transporte escolar;</w:t>
      </w:r>
    </w:p>
    <w:p w14:paraId="5F26BC60" w14:textId="77777777" w:rsidR="00407C3F" w:rsidRPr="00071291" w:rsidRDefault="00407C3F" w:rsidP="00407C3F">
      <w:pPr>
        <w:pStyle w:val="PargrafodaLista"/>
        <w:numPr>
          <w:ilvl w:val="0"/>
          <w:numId w:val="2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fortalecimento da oferta de atendimento educacional especializado e da implantação de salas de recursos multifuncionais;</w:t>
      </w:r>
    </w:p>
    <w:p w14:paraId="6C15A3B0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15357799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III - quanto ao eixo da saúde e assistência social inclusivas:</w:t>
      </w:r>
    </w:p>
    <w:p w14:paraId="3F39E859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2B9367EA" w14:textId="77777777" w:rsidR="00407C3F" w:rsidRPr="00071291" w:rsidRDefault="00407C3F" w:rsidP="00407C3F">
      <w:pPr>
        <w:pStyle w:val="PargrafodaLista"/>
        <w:numPr>
          <w:ilvl w:val="0"/>
          <w:numId w:val="3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do atendimento prioritário e humanizado às pessoas com deficiência, nos termos da legislação vigente;</w:t>
      </w:r>
    </w:p>
    <w:p w14:paraId="51063DB8" w14:textId="77777777" w:rsidR="00407C3F" w:rsidRPr="00071291" w:rsidRDefault="00407C3F" w:rsidP="00407C3F">
      <w:pPr>
        <w:pStyle w:val="PargrafodaLista"/>
        <w:numPr>
          <w:ilvl w:val="0"/>
          <w:numId w:val="3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ao fortalecimento de serviços de reabilitação multiprofissional;</w:t>
      </w:r>
    </w:p>
    <w:p w14:paraId="777AA125" w14:textId="77777777" w:rsidR="00407C3F" w:rsidRPr="00071291" w:rsidRDefault="00407C3F" w:rsidP="00407C3F">
      <w:pPr>
        <w:pStyle w:val="PargrafodaLista"/>
        <w:numPr>
          <w:ilvl w:val="0"/>
          <w:numId w:val="3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ampliação do acesso a tecnologias assistivas, observadas as competências e políticas públicas existentes;</w:t>
      </w:r>
    </w:p>
    <w:p w14:paraId="3684F876" w14:textId="77777777" w:rsidR="00407C3F" w:rsidRPr="00071291" w:rsidRDefault="00407C3F" w:rsidP="00407C3F">
      <w:pPr>
        <w:pStyle w:val="PargrafodaLista"/>
        <w:numPr>
          <w:ilvl w:val="0"/>
          <w:numId w:val="3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fortalecimento da articulação entre os serviços de saúde e assistência social, visando ao atendimento integral da pessoa com deficiência;</w:t>
      </w:r>
    </w:p>
    <w:p w14:paraId="263C8FA0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7C5EAEE9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IV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quanto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ao eixo da empregabilidade e empreendedorismo inclusivo:</w:t>
      </w:r>
    </w:p>
    <w:p w14:paraId="57690CEA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742158FA" w14:textId="77777777" w:rsidR="00407C3F" w:rsidRPr="00071291" w:rsidRDefault="00407C3F" w:rsidP="00407C3F">
      <w:pPr>
        <w:pStyle w:val="PargrafodaLista"/>
        <w:numPr>
          <w:ilvl w:val="0"/>
          <w:numId w:val="4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inserção da pessoa com deficiência no mercado de trabalho;</w:t>
      </w:r>
    </w:p>
    <w:p w14:paraId="3E5F6535" w14:textId="77777777" w:rsidR="00407C3F" w:rsidRPr="00071291" w:rsidRDefault="00407C3F" w:rsidP="00407C3F">
      <w:pPr>
        <w:pStyle w:val="PargrafodaLista"/>
        <w:numPr>
          <w:ilvl w:val="0"/>
          <w:numId w:val="4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qualificação profissional, inclusive mediante parcerias com instituições públicas e privadas;</w:t>
      </w:r>
    </w:p>
    <w:p w14:paraId="6CBA7BCA" w14:textId="77777777" w:rsidR="00407C3F" w:rsidRPr="00071291" w:rsidRDefault="00407C3F" w:rsidP="00407C3F">
      <w:pPr>
        <w:pStyle w:val="PargrafodaLista"/>
        <w:numPr>
          <w:ilvl w:val="0"/>
          <w:numId w:val="4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do empreendedorismo da pessoa com deficiência;</w:t>
      </w:r>
    </w:p>
    <w:p w14:paraId="492BF6E8" w14:textId="77777777" w:rsidR="00407C3F" w:rsidRPr="00071291" w:rsidRDefault="00407C3F" w:rsidP="00407C3F">
      <w:pPr>
        <w:pStyle w:val="PargrafodaLista"/>
        <w:numPr>
          <w:ilvl w:val="0"/>
          <w:numId w:val="4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articulação com programas de crédito e fomento existentes;</w:t>
      </w:r>
    </w:p>
    <w:p w14:paraId="36AC0C4E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160E701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quanto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ao eixo da cultura, esporte e lazer acessíveis:</w:t>
      </w:r>
    </w:p>
    <w:p w14:paraId="7D8ABC98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E720C01" w14:textId="77777777" w:rsidR="00407C3F" w:rsidRPr="00071291" w:rsidRDefault="00407C3F" w:rsidP="00407C3F">
      <w:pPr>
        <w:pStyle w:val="PargrafodaLista"/>
        <w:numPr>
          <w:ilvl w:val="0"/>
          <w:numId w:val="5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da acessibilidade em eventos e espaços culturais e esportivos;</w:t>
      </w:r>
    </w:p>
    <w:p w14:paraId="08436041" w14:textId="77777777" w:rsidR="00407C3F" w:rsidRPr="00071291" w:rsidRDefault="00407C3F" w:rsidP="00407C3F">
      <w:pPr>
        <w:pStyle w:val="PargrafodaLista"/>
        <w:numPr>
          <w:ilvl w:val="0"/>
          <w:numId w:val="5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realização de projetos inclusivos voltados às diferentes deficiências;</w:t>
      </w:r>
    </w:p>
    <w:p w14:paraId="1BD04195" w14:textId="77777777" w:rsidR="00407C3F" w:rsidRPr="00071291" w:rsidRDefault="00407C3F" w:rsidP="00407C3F">
      <w:pPr>
        <w:pStyle w:val="PargrafodaLista"/>
        <w:numPr>
          <w:ilvl w:val="0"/>
          <w:numId w:val="5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oferta de recursos de acessibilidade comunicacional, tais como Libras, audiodescrição e legendagem;</w:t>
      </w:r>
    </w:p>
    <w:p w14:paraId="1F70ABCD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07B9391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VI - </w:t>
      </w:r>
      <w:proofErr w:type="gramStart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quanto</w:t>
      </w:r>
      <w:proofErr w:type="gramEnd"/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ao eixo da comunicação acessível e das tecnologias assistivas:</w:t>
      </w:r>
    </w:p>
    <w:p w14:paraId="5FD8EF13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20589E18" w14:textId="77777777" w:rsidR="00407C3F" w:rsidRPr="00071291" w:rsidRDefault="00407C3F" w:rsidP="00407C3F">
      <w:pPr>
        <w:pStyle w:val="PargrafodaLista"/>
        <w:numPr>
          <w:ilvl w:val="0"/>
          <w:numId w:val="6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da acessibilidade comunicacional nos canais institucionais do Município;</w:t>
      </w:r>
    </w:p>
    <w:p w14:paraId="02B5D1AB" w14:textId="77777777" w:rsidR="00407C3F" w:rsidRPr="00071291" w:rsidRDefault="00407C3F" w:rsidP="00407C3F">
      <w:pPr>
        <w:pStyle w:val="PargrafodaLista"/>
        <w:numPr>
          <w:ilvl w:val="0"/>
          <w:numId w:val="6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disponibilização de informações em formatos acessíveis;</w:t>
      </w:r>
    </w:p>
    <w:p w14:paraId="14394386" w14:textId="77777777" w:rsidR="00407C3F" w:rsidRPr="00071291" w:rsidRDefault="00407C3F" w:rsidP="00407C3F">
      <w:pPr>
        <w:pStyle w:val="PargrafodaLista"/>
        <w:numPr>
          <w:ilvl w:val="0"/>
          <w:numId w:val="6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lastRenderedPageBreak/>
        <w:t>incentivo à utilização de tecnologias assistivas que favoreçam a autonomia da pessoa com deficiência;</w:t>
      </w:r>
    </w:p>
    <w:p w14:paraId="73E01A36" w14:textId="77777777" w:rsidR="00407C3F" w:rsidRPr="00071291" w:rsidRDefault="00407C3F" w:rsidP="00407C3F">
      <w:pPr>
        <w:pStyle w:val="PargrafodaLista"/>
        <w:numPr>
          <w:ilvl w:val="0"/>
          <w:numId w:val="6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fortalecimento da acessibilidade digital nos sítios eletrônicos e sistemas mantidos pela Administração Pública Municipal;</w:t>
      </w:r>
    </w:p>
    <w:p w14:paraId="775A72BD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63F0B6DE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VII - quanto ao eixo da formação e capacitação permanente de agentes públicos para atendimento inclusivo:</w:t>
      </w:r>
    </w:p>
    <w:p w14:paraId="24A44661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D2CC803" w14:textId="77777777" w:rsidR="00407C3F" w:rsidRPr="00071291" w:rsidRDefault="00407C3F" w:rsidP="00407C3F">
      <w:pPr>
        <w:pStyle w:val="PargrafodaLista"/>
        <w:numPr>
          <w:ilvl w:val="0"/>
          <w:numId w:val="7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capacitação continuada de agentes públicos para atendimento adequado às pessoas com deficiência;</w:t>
      </w:r>
    </w:p>
    <w:p w14:paraId="4A01ED96" w14:textId="77777777" w:rsidR="00407C3F" w:rsidRPr="00071291" w:rsidRDefault="00407C3F" w:rsidP="00407C3F">
      <w:pPr>
        <w:pStyle w:val="PargrafodaLista"/>
        <w:numPr>
          <w:ilvl w:val="0"/>
          <w:numId w:val="7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promoção de ações de sensibilização e formação voltadas à inclusão e ao respeito à diversidade;</w:t>
      </w:r>
    </w:p>
    <w:p w14:paraId="47046CCE" w14:textId="77777777" w:rsidR="00407C3F" w:rsidRPr="00071291" w:rsidRDefault="00407C3F" w:rsidP="00407C3F">
      <w:pPr>
        <w:pStyle w:val="PargrafodaLista"/>
        <w:numPr>
          <w:ilvl w:val="0"/>
          <w:numId w:val="7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estímulo à difusão de boas práticas de acessibilidade e atendimento inclusivo no âmbito da Administração Pública Municipal;</w:t>
      </w:r>
    </w:p>
    <w:p w14:paraId="0FCF0876" w14:textId="77777777" w:rsidR="00407C3F" w:rsidRPr="00071291" w:rsidRDefault="00407C3F" w:rsidP="00407C3F">
      <w:pPr>
        <w:pStyle w:val="PargrafodaLista"/>
        <w:numPr>
          <w:ilvl w:val="0"/>
          <w:numId w:val="7"/>
        </w:numPr>
        <w:tabs>
          <w:tab w:val="left" w:pos="708"/>
          <w:tab w:val="left" w:pos="152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incentivo à realização de cursos, seminários e atividades formativas sobre direitos das pessoas com deficiência.</w:t>
      </w:r>
    </w:p>
    <w:p w14:paraId="14844061" w14:textId="77777777" w:rsidR="00407C3F" w:rsidRPr="00071291" w:rsidRDefault="00407C3F" w:rsidP="00407C3F">
      <w:pPr>
        <w:tabs>
          <w:tab w:val="left" w:pos="708"/>
          <w:tab w:val="left" w:pos="1522"/>
        </w:tabs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30A694D8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>Fica acrescido o Capítulo IV na Lei nº. 3.181, de 04 de abril de 2018, nos seguintes termos:</w:t>
      </w:r>
    </w:p>
    <w:p w14:paraId="01A8E083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B9C45A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ab/>
        <w:t>“</w:t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CAPÍTULO IV</w:t>
      </w:r>
    </w:p>
    <w:p w14:paraId="5FAE8477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DA VALIDADE DO LAUDO MÉDICO</w:t>
      </w:r>
    </w:p>
    <w:p w14:paraId="451CB161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78CDC282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20.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O laudo médico ou documento equivalente que ateste deficiência permanente, terá validade por prazo indeterminado para fins de acesso a benefícios, serviços e políticas públicas destinadas às pessoas com deficiência no âmbito da Administração Pública Municipal.</w:t>
      </w:r>
    </w:p>
    <w:p w14:paraId="08ABE121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4E851AE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Parágrafo único.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 exigência de novo laudo médico somente poderá ocorrer em caráter excepcional, quando houver fundada dúvida quanto à condição anteriormente atestada ou quando necessária a atualização de informações clínicas relevantes”.</w:t>
      </w:r>
    </w:p>
    <w:p w14:paraId="1F925DE0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D280FCC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Art. 3º</w:t>
      </w: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>Fica acrescido o Capítulo V na Lei nº. 3.181, de 04 de abril de 2018, nos seguintes termos:</w:t>
      </w:r>
    </w:p>
    <w:p w14:paraId="14F2F282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474E2032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ab/>
        <w:t>“</w:t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CAPÍTULO V</w:t>
      </w:r>
    </w:p>
    <w:p w14:paraId="1B35F622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  <w:t>DAS DISPOSIÇÕES FINAIS</w:t>
      </w:r>
    </w:p>
    <w:p w14:paraId="00303346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542BAB64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21.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As despesas decorrentes da execução desta Lei correrão por conta de dotações próprias, consignadas no orçamento municipal, suplementadas se necessário.</w:t>
      </w:r>
    </w:p>
    <w:p w14:paraId="2A5B068E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11734AE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Art. 22.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O Poder Executivo regulamentará, no que couber, a presente Lei no prazo de 60 (sessenta) dias, contados da data de sua publicação.</w:t>
      </w:r>
    </w:p>
    <w:p w14:paraId="724CA870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1E6B77F" w14:textId="77777777" w:rsidR="00407C3F" w:rsidRPr="00071291" w:rsidRDefault="00407C3F" w:rsidP="00407C3F">
      <w:pPr>
        <w:spacing w:after="0" w:line="240" w:lineRule="auto"/>
        <w:ind w:left="851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lastRenderedPageBreak/>
        <w:t xml:space="preserve">Art. 23. </w:t>
      </w:r>
      <w:r w:rsidRPr="00071291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Esta Lei entra em vigor na data de sua publicação, revogadas as disposições em contrário”.</w:t>
      </w:r>
    </w:p>
    <w:p w14:paraId="0B1A23E2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04DF570B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>Art. 4º</w:t>
      </w:r>
      <w:r w:rsidRPr="0007129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071291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publicação, revogadas as disposições em contrário.</w:t>
      </w:r>
    </w:p>
    <w:p w14:paraId="071B057A" w14:textId="77777777" w:rsidR="00407C3F" w:rsidRPr="00071291" w:rsidRDefault="00407C3F" w:rsidP="0040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</w:p>
    <w:p w14:paraId="32ADBE4A" w14:textId="77777777" w:rsidR="00407C3F" w:rsidRPr="00071291" w:rsidRDefault="00407C3F" w:rsidP="00407C3F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69ECD2" w14:textId="77777777" w:rsidR="00407C3F" w:rsidRPr="00071291" w:rsidRDefault="00407C3F" w:rsidP="00407C3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0AF1DFA" w14:textId="77777777" w:rsidR="00407C3F" w:rsidRPr="00071291" w:rsidRDefault="00407C3F" w:rsidP="00407C3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291">
        <w:rPr>
          <w:rFonts w:ascii="Times New Roman" w:hAnsi="Times New Roman"/>
          <w:b/>
          <w:i/>
          <w:sz w:val="24"/>
          <w:szCs w:val="24"/>
        </w:rPr>
        <w:t>Edison de Souza Silva</w:t>
      </w:r>
    </w:p>
    <w:p w14:paraId="691DCE58" w14:textId="77777777" w:rsidR="00407C3F" w:rsidRPr="00071291" w:rsidRDefault="00407C3F" w:rsidP="00407C3F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071291">
        <w:rPr>
          <w:rFonts w:ascii="Times New Roman" w:hAnsi="Times New Roman"/>
          <w:b/>
          <w:i/>
          <w:sz w:val="24"/>
          <w:szCs w:val="24"/>
        </w:rPr>
        <w:t>VEREADOR</w:t>
      </w:r>
    </w:p>
    <w:p w14:paraId="7E1A073C" w14:textId="77777777" w:rsidR="00951654" w:rsidRDefault="00951654"/>
    <w:sectPr w:rsidR="009516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5137" w14:textId="77777777" w:rsidR="00FA733D" w:rsidRDefault="00FA733D" w:rsidP="00407C3F">
      <w:pPr>
        <w:spacing w:after="0" w:line="240" w:lineRule="auto"/>
      </w:pPr>
      <w:r>
        <w:separator/>
      </w:r>
    </w:p>
  </w:endnote>
  <w:endnote w:type="continuationSeparator" w:id="0">
    <w:p w14:paraId="2CFED858" w14:textId="77777777" w:rsidR="00FA733D" w:rsidRDefault="00FA733D" w:rsidP="0040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9FC1" w14:textId="77777777" w:rsidR="00FA733D" w:rsidRDefault="00FA733D" w:rsidP="00407C3F">
      <w:pPr>
        <w:spacing w:after="0" w:line="240" w:lineRule="auto"/>
      </w:pPr>
      <w:r>
        <w:separator/>
      </w:r>
    </w:p>
  </w:footnote>
  <w:footnote w:type="continuationSeparator" w:id="0">
    <w:p w14:paraId="5BE4ED7D" w14:textId="77777777" w:rsidR="00FA733D" w:rsidRDefault="00FA733D" w:rsidP="0040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6B1" w14:textId="77777777" w:rsidR="00407C3F" w:rsidRDefault="00407C3F" w:rsidP="00407C3F">
    <w:pPr>
      <w:pStyle w:val="Cabealho"/>
    </w:pPr>
    <w:r>
      <w:rPr>
        <w:noProof/>
        <w:lang w:eastAsia="pt-BR"/>
      </w:rPr>
      <w:drawing>
        <wp:inline distT="0" distB="0" distL="0" distR="0" wp14:anchorId="6A99B839" wp14:editId="263D5E31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2B455" w14:textId="77777777" w:rsidR="00407C3F" w:rsidRDefault="00407C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EE"/>
    <w:multiLevelType w:val="hybridMultilevel"/>
    <w:tmpl w:val="D370FA7E"/>
    <w:lvl w:ilvl="0" w:tplc="C88C2E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02A82"/>
    <w:multiLevelType w:val="hybridMultilevel"/>
    <w:tmpl w:val="93DE1426"/>
    <w:lvl w:ilvl="0" w:tplc="F89C01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C52CCD"/>
    <w:multiLevelType w:val="hybridMultilevel"/>
    <w:tmpl w:val="15D60410"/>
    <w:lvl w:ilvl="0" w:tplc="22EABA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953701"/>
    <w:multiLevelType w:val="hybridMultilevel"/>
    <w:tmpl w:val="9AC02F9A"/>
    <w:lvl w:ilvl="0" w:tplc="E7CE84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EA5992"/>
    <w:multiLevelType w:val="hybridMultilevel"/>
    <w:tmpl w:val="7C8A4A64"/>
    <w:lvl w:ilvl="0" w:tplc="E4C63D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49793C"/>
    <w:multiLevelType w:val="hybridMultilevel"/>
    <w:tmpl w:val="8774066A"/>
    <w:lvl w:ilvl="0" w:tplc="F7C6EB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FF6C36"/>
    <w:multiLevelType w:val="hybridMultilevel"/>
    <w:tmpl w:val="344CBA86"/>
    <w:lvl w:ilvl="0" w:tplc="F82C3D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3330635">
    <w:abstractNumId w:val="1"/>
  </w:num>
  <w:num w:numId="2" w16cid:durableId="1356619461">
    <w:abstractNumId w:val="0"/>
  </w:num>
  <w:num w:numId="3" w16cid:durableId="1862275882">
    <w:abstractNumId w:val="4"/>
  </w:num>
  <w:num w:numId="4" w16cid:durableId="1666937780">
    <w:abstractNumId w:val="2"/>
  </w:num>
  <w:num w:numId="5" w16cid:durableId="1166551365">
    <w:abstractNumId w:val="3"/>
  </w:num>
  <w:num w:numId="6" w16cid:durableId="105737563">
    <w:abstractNumId w:val="5"/>
  </w:num>
  <w:num w:numId="7" w16cid:durableId="1167404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3F"/>
    <w:rsid w:val="00407C3F"/>
    <w:rsid w:val="00583B1C"/>
    <w:rsid w:val="00732486"/>
    <w:rsid w:val="00951654"/>
    <w:rsid w:val="00AC7D7E"/>
    <w:rsid w:val="00E35560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38CE"/>
  <w15:chartTrackingRefBased/>
  <w15:docId w15:val="{CCAB0637-AC0B-4143-B11B-2E1A77F9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3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0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C3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C3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C3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C3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C3F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C3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C3F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C3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C3F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C3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C3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C3F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C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C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C3F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C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07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C3F"/>
    <w:rPr>
      <w:noProof/>
    </w:rPr>
  </w:style>
  <w:style w:type="paragraph" w:styleId="Rodap">
    <w:name w:val="footer"/>
    <w:basedOn w:val="Normal"/>
    <w:link w:val="RodapChar"/>
    <w:uiPriority w:val="99"/>
    <w:unhideWhenUsed/>
    <w:rsid w:val="00407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C3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1</cp:revision>
  <dcterms:created xsi:type="dcterms:W3CDTF">2026-04-09T13:26:00Z</dcterms:created>
  <dcterms:modified xsi:type="dcterms:W3CDTF">2026-04-09T13:27:00Z</dcterms:modified>
</cp:coreProperties>
</file>